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6.png" ContentType="image/png"/>
  <Override PartName="/word/media/rId41.png" ContentType="image/png"/>
  <Override PartName="/word/media/rId46.png" ContentType="image/png"/>
  <Override PartName="/word/media/rId51.png" ContentType="image/png"/>
  <Override PartName="/word/media/rId56.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Additionally, some planktonic cyanobacteria species exhibit vertical migration behaviors, moving closer to the surface during nighttime to access oxygen-rich waters and retreating to deeper layers during the day to avoid excessive light exposure</w:t>
      </w:r>
      <w:r>
        <w:t xml:space="preserve"> </w:t>
      </w:r>
      <w:r>
        <w:t xml:space="preserve">(Kromkamp and Walsby 1990)</w:t>
      </w:r>
      <w:r>
        <w:t xml:space="preserve">.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cultures of</w:t>
      </w:r>
      <w:r>
        <w:t xml:space="preserve"> </w:t>
      </w:r>
      <w:r>
        <w:rPr>
          <w:iCs/>
          <w:i/>
        </w:rPr>
        <w:t xml:space="preserve">Synechococcus</w:t>
      </w:r>
      <w:r>
        <w:t xml:space="preserve"> </w:t>
      </w:r>
      <w:r>
        <w:t xml:space="preserve">sp. (PC-rich CCBA_077 and PE-rich CCBA_127) were obtained from the Culture Collection of Baltic Algae (CCBA;</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s^-1 with illumination from Philips Cool White F14T5/841 Alto, 14 watts, fluorescent bulbs.</w:t>
      </w:r>
    </w:p>
    <w:p>
      <w:pPr>
        <w:pStyle w:val="BodyText"/>
      </w:pPr>
      <w:r>
        <w:t xml:space="preserve">Controlled growth experiments were performed using MCMIX-OD PSI Multicultivators (Photon Systems Instruments, Drásov, Czech Republic). Each of 8 round bottom cylindrical glass tubes contained 75 mL of f/2 medium and 5 mL of growing pre-culture.</w:t>
      </w:r>
      <w:r>
        <w:t xml:space="preserve"> </w:t>
      </w:r>
      <w:r>
        <w:t xml:space="preserve">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 The optical density of the cultures was monitored using the Photobioreactor Control Software (Photon Systems Instruments, Drásov, Czech Republic).</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7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spectral bandwidth, and O</w:t>
      </w:r>
      <w:r>
        <w:rPr>
          <w:vertAlign w:val="subscript"/>
        </w:rPr>
        <w:t xml:space="preserve">2</w:t>
      </w:r>
      <w:r>
        <w:t xml:space="preserve"> </w:t>
      </w:r>
      <w:r>
        <w:t xml:space="preserve">concentration.</w:t>
      </w:r>
    </w:p>
    <w:p>
      <w:pPr>
        <w:pStyle w:val="BodyText"/>
      </w:pPr>
    </w:p>
    <w:bookmarkEnd w:id="25"/>
    <w:bookmarkStart w:id="26" w:name="Xbe5181cefa1e9914800cc7b8568196824c6fa0f"/>
    <w:p>
      <w:pPr>
        <w:pStyle w:val="Heading2"/>
      </w:pPr>
      <w:r>
        <w:t xml:space="preserve">Whole-cell absorbance spectra, pigment content, and PUR/PAR ratio</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Using an integrating cavity upgrade CLARiTY 17 UV/Vis/NIR spectrophotometer, we conducted estimations of pigment content (µg mL^-1)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Additionally, we calculated the ratio of the sum of phycobiliproteins (PE, PC, APC protein) to Chl</w:t>
      </w:r>
      <w:r>
        <w:t xml:space="preserve"> </w:t>
      </w:r>
      <w:r>
        <w:rPr>
          <w:iCs/>
          <w:i/>
        </w:rPr>
        <w:t xml:space="preserve">a</w:t>
      </w:r>
      <w:r>
        <w:t xml:space="preserve"> </w:t>
      </w:r>
      <w:r>
        <w:t xml:space="preserve">(µg:µg) for each strain.</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445, 470, 535, 620, 660, and 720 nm) using a Jaz spectrometer (Ocean Optics, Inc.,Dunedin, FL, USA) equipped with a fiber optic cable, HH2 FiberOpticJmp (Part number A901073, Malvern Panalytical Ltd, Malvern, UK). Next, each LED spectrum (Em) was normalized to its emission peak maximum (393, 441, 469, 521, 612, 647, and 722 nm). We also normalized the obtained whole-cell absorbance spectra of</w:t>
      </w:r>
      <w:r>
        <w:t xml:space="preserve"> </w:t>
      </w:r>
      <w:r>
        <w:rPr>
          <w:iCs/>
          <w:i/>
        </w:rPr>
        <w:t xml:space="preserve">Synechococcus</w:t>
      </w:r>
      <w:r>
        <w:t xml:space="preserve"> </w:t>
      </w:r>
      <w:r>
        <w:t xml:space="preserve">sp. cultures (A) from 400 nm to 700 nm to a reference wavelength of their 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sum of Absorbance Normalized to 440 nm, NormEm is the sum of Emission spectra Normalized to maximum peak of colur light, and PAR in this case is 180 µmol photons m</w:t>
      </w:r>
      <w:r>
        <w:rPr>
          <w:vertAlign w:val="superscript"/>
        </w:rPr>
        <w:t xml:space="preserve">−2</w:t>
      </w:r>
      <w:r>
        <w:t xml:space="preserve">s</w:t>
      </w:r>
      <w:r>
        <w:rPr>
          <w:vertAlign w:val="superscript"/>
        </w:rPr>
        <w:t xml:space="preserve">−1</w:t>
      </w:r>
      <w:r>
        <w:t xml:space="preserve">.</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(2))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2</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(3))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3</m:t>
              </m:r>
            </m:e>
          </m:d>
        </m:oMath>
      </m:oMathPara>
    </w:p>
    <w:p>
      <w:pPr>
        <w:pStyle w:val="FirstParagraph"/>
      </w:pPr>
      <w:r>
        <w:t xml:space="preserve">At the same time as the FRRf measurements were performed, 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61" w:name="results"/>
    <w:p>
      <w:pPr>
        <w:pStyle w:val="Heading1"/>
      </w:pPr>
      <w:r>
        <w:t xml:space="preserve">Results</w:t>
      </w:r>
    </w:p>
    <w:bookmarkStart w:id="40" w:name="Xdc8260a5be7f457f6992dfe33a47b6b0786763f"/>
    <w:p>
      <w:pPr>
        <w:pStyle w:val="Heading2"/>
      </w:pPr>
      <w:r>
        <w:t xml:space="preserve">Growth curves and chlorophyll-specific exponential growth rate</w:t>
      </w:r>
    </w:p>
    <w:p>
      <w:pPr>
        <w:pStyle w:val="FirstParagraph"/>
      </w:pPr>
    </w:p>
    <w:p>
      <w:pPr>
        <w:pStyle w:val="CaptionedFigure"/>
      </w:pPr>
      <w:r>
        <w:drawing>
          <wp:inline>
            <wp:extent cx="5943600" cy="3714749"/>
            <wp:effectExtent b="0" l="0" r="0" t="0"/>
            <wp:docPr descr="Fig. 1: Growth curves, tracked as OD680 vs. elapsed time (d). Growth curves were estimated over 5-min intervals for PC-rich_077 (light green) and PE-rich_127 (dark red) cultures of Synechococcus sp. grown at spectral bandwidth of 405, 445, 470, 535, 620, 660, and 720 nm and O2 concentration of 250 µM and 2.5 µM." title="" id="33" name="Picture"/>
            <a:graphic>
              <a:graphicData uri="http://schemas.openxmlformats.org/drawingml/2006/picture">
                <pic:pic>
                  <pic:nvPicPr>
                    <pic:cNvPr descr="../Output/Figures/SFig_GrowthCurve_OD680.png" id="34" name="Picture"/>
                    <pic:cNvPicPr>
                      <a:picLocks noChangeArrowheads="1" noChangeAspect="1"/>
                    </pic:cNvPicPr>
                  </pic:nvPicPr>
                  <pic:blipFill>
                    <a:blip r:embed="rId32"/>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bookmarkStart w:id="35" w:name="fig:GrowthCurve"/>
      <w:bookmarkEnd w:id="35"/>
      <w:r>
        <w:rPr>
          <w:bCs/>
          <w:b/>
        </w:rPr>
        <w:t xml:space="preserve">Fig.</w:t>
      </w:r>
      <w:r>
        <w:rPr>
          <w:bCs/>
          <w:b/>
        </w:rPr>
        <w:t xml:space="preserve"> </w:t>
      </w:r>
      <w:r>
        <w:t xml:space="preserve">1:</w:t>
      </w:r>
      <w:r>
        <w:t xml:space="preserve"> </w:t>
      </w:r>
      <w:r>
        <w:rPr>
          <w:bCs/>
          <w:b/>
        </w:rPr>
        <w:t xml:space="preserve">Growth curves, tracked as OD</w:t>
      </w:r>
      <w:r>
        <w:rPr>
          <w:vertAlign w:val="subscript"/>
          <w:bCs/>
          <w:b/>
        </w:rPr>
        <w:t xml:space="preserve">680</w:t>
      </w:r>
      <w:r>
        <w:rPr>
          <w:bCs/>
          <w:b/>
        </w:rPr>
        <w:t xml:space="preserve"> </w:t>
      </w:r>
      <w:r>
        <w:rPr>
          <w:bCs/>
          <w:b/>
        </w:rPr>
        <w:t xml:space="preserve">vs. elapsed time (d)</w:t>
      </w:r>
      <w:r>
        <w:t xml:space="preserve">. Growth curves were estimated over 5-min intervals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p>
      <w:pPr>
        <w:pStyle w:val="BodyText"/>
      </w:pPr>
    </w:p>
    <w:p>
      <w:pPr>
        <w:pStyle w:val="CaptionedFigure"/>
      </w:pPr>
      <w:r>
        <w:drawing>
          <wp:inline>
            <wp:extent cx="5504749" cy="5046020"/>
            <wp:effectExtent b="0" l="0" r="0" t="0"/>
            <wp:docPr descr="Fig. 2: Chlorophyll-specific exponential growth rates (d−1) vs. wavelength (nm). Growth rates (± SE falling within symbols) were estimated from logistic fits of chlorophyll proxy OD680 – OD720 (ΔOD) vs. elapsed time, for PC-rich_077 (light green) and PE-rich_127 (dark red) cultures of Synechococcus sp. grown at spectral bandwidth of 405, 445, 470, 535, 620, 660, and 720 nm and O2 concentration of 250 µM and 2.5 µM." title="" id="37" name="Picture"/>
            <a:graphic>
              <a:graphicData uri="http://schemas.openxmlformats.org/drawingml/2006/picture">
                <pic:pic>
                  <pic:nvPicPr>
                    <pic:cNvPr descr="../Output/Figures/Fig_GrowthRate.png" id="38" name="Picture"/>
                    <pic:cNvPicPr>
                      <a:picLocks noChangeArrowheads="1" noChangeAspect="1"/>
                    </pic:cNvPicPr>
                  </pic:nvPicPr>
                  <pic:blipFill>
                    <a:blip r:embed="rId36"/>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bookmarkStart w:id="39" w:name="fig:GrowthRate"/>
      <w:bookmarkEnd w:id="39"/>
      <w:r>
        <w:rPr>
          <w:bCs/>
          <w:b/>
        </w:rPr>
        <w:t xml:space="preserve">Fig.</w:t>
      </w:r>
      <w:r>
        <w:rPr>
          <w:bCs/>
          <w:b/>
        </w:rPr>
        <w:t xml:space="preserve"> </w:t>
      </w:r>
      <w:r>
        <w:t xml:space="preserve">2:</w:t>
      </w:r>
      <w:r>
        <w:t xml:space="preserve"> </w:t>
      </w:r>
      <w:r>
        <w:rPr>
          <w:bCs/>
          <w:b/>
        </w:rPr>
        <w:t xml:space="preserve">Chlorophyll-specific exponential growth rates (d</w:t>
      </w:r>
      <w:r>
        <w:rPr>
          <w:vertAlign w:val="superscript"/>
          <w:bCs/>
          <w:b/>
        </w:rPr>
        <w:t xml:space="preserve">−1</w:t>
      </w:r>
      <w:r>
        <w:rPr>
          <w:bCs/>
          <w:b/>
        </w:rPr>
        <w:t xml:space="preserve">) vs. wavelength (nm)</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p>
      <w:pPr>
        <w:pStyle w:val="BodyText"/>
      </w:pPr>
    </w:p>
    <w:bookmarkEnd w:id="40"/>
    <w:bookmarkStart w:id="45" w:name="whole-cell-spectra"/>
    <w:p>
      <w:pPr>
        <w:pStyle w:val="Heading2"/>
      </w:pPr>
      <w:r>
        <w:t xml:space="preserve">Whole-cell spectra</w:t>
      </w:r>
    </w:p>
    <w:p>
      <w:pPr>
        <w:pStyle w:val="CaptionedFigure"/>
      </w:pPr>
      <w:r>
        <w:drawing>
          <wp:inline>
            <wp:extent cx="5943600" cy="2971800"/>
            <wp:effectExtent b="0" l="0" r="0" t="0"/>
            <wp:docPr descr="Fig. 3: Whole-cell absorbance spectra of PC-rich_077 (solid light green lines) or PE-rich_127 (solid dark red lines) cultures of Synechococcus sp. grown at spectral bandwidth of 405, 445, 470, 535, 620, 660, and 720 nm and O2 concentration of 250 µM and 2.5 µM. Representative absorbance spectra, normalized to 440 nm (NormA440), were measured together with emission spectra of the white LED lamp used for PAR, normalized to their emission peak (light gray area). Estimated Photosynthetically Usable Radiation (PUR) is shown as a green area for the PC-rich_077 strain and a red area for the PE-rich_127 strain." title="" id="42" name="Picture"/>
            <a:graphic>
              <a:graphicData uri="http://schemas.openxmlformats.org/drawingml/2006/picture">
                <pic:pic>
                  <pic:nvPicPr>
                    <pic:cNvPr descr="../Output/Figures/Fig_OlisSpectra.png" id="43" name="Picture"/>
                    <pic:cNvPicPr>
                      <a:picLocks noChangeArrowheads="1" noChangeAspect="1"/>
                    </pic:cNvPicPr>
                  </pic:nvPicPr>
                  <pic:blipFill>
                    <a:blip r:embed="rId4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44" w:name="fig:OlisSpectra"/>
      <w:bookmarkEnd w:id="44"/>
      <w:r>
        <w:rPr>
          <w:bCs/>
          <w:b/>
        </w:rPr>
        <w:t xml:space="preserve">Fig.</w:t>
      </w:r>
      <w:r>
        <w:rPr>
          <w:bCs/>
          <w:b/>
        </w:rPr>
        <w:t xml:space="preserve"> </w:t>
      </w:r>
      <w:r>
        <w:t xml:space="preserve">3:</w:t>
      </w:r>
      <w:r>
        <w:t xml:space="preserve"> </w:t>
      </w:r>
      <w:r>
        <w:rPr>
          <w:bCs/>
          <w:b/>
        </w:rPr>
        <w:t xml:space="preserve">Whole-cell absorbance spectra</w:t>
      </w:r>
      <w:r>
        <w:t xml:space="preserve"> </w:t>
      </w:r>
      <w:r>
        <w:t xml:space="preserve">of PC-rich_077 (solid light green lines) or PE-rich_127 (solid dark red lines)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 Representative absorbance spectra, normalized to 440 nm (NormA</w:t>
      </w:r>
      <w:r>
        <w:rPr>
          <w:vertAlign w:val="subscript"/>
        </w:rPr>
        <w:t xml:space="preserve">440</w:t>
      </w:r>
      <w:r>
        <w:t xml:space="preserve">), were measured together with emission spectra of the white LED lamp used for PAR, normalized to their emission peak (light gray area). Estimated Photosynthetically Usable Radiation (PUR) is shown as a green area for the PC-rich_077 strain and a red area for the PE-rich_127 strain.</w:t>
      </w:r>
    </w:p>
    <w:p>
      <w:pPr>
        <w:pStyle w:val="BodyText"/>
      </w:pPr>
    </w:p>
    <w:bookmarkEnd w:id="45"/>
    <w:bookmarkStart w:id="50" w:name="purpar-ratio-vs.-spectral-bandwidth"/>
    <w:p>
      <w:pPr>
        <w:pStyle w:val="Heading2"/>
      </w:pPr>
      <w:r>
        <w:t xml:space="preserve">PUR/PAR ratio vs. spectral bandwidth</w:t>
      </w:r>
    </w:p>
    <w:p>
      <w:pPr>
        <w:pStyle w:val="CaptionedFigure"/>
      </w:pPr>
      <w:r>
        <w:drawing>
          <wp:inline>
            <wp:extent cx="5943600" cy="3714749"/>
            <wp:effectExtent b="0" l="0" r="0" t="0"/>
            <wp:docPr descr="Fig. 4: Changes in PUR/PAR ratio vs. wavelength (nm). PUR/PAR ratio was estimated for PC-rich_077 (light green) and PE-rich_127 (dark red) cultures of Synechococcus sp. grown at spectral bandwidth of 405, 445, 470, 535, 620, 660, and 720 nm and O2 concentration of 250 µM and 2.5 µM." title="" id="47" name="Picture"/>
            <a:graphic>
              <a:graphicData uri="http://schemas.openxmlformats.org/drawingml/2006/picture">
                <pic:pic>
                  <pic:nvPicPr>
                    <pic:cNvPr descr="../Output/Figures/Fig_PURPARRatio2.png" id="48" name="Picture"/>
                    <pic:cNvPicPr>
                      <a:picLocks noChangeArrowheads="1" noChangeAspect="1"/>
                    </pic:cNvPicPr>
                  </pic:nvPicPr>
                  <pic:blipFill>
                    <a:blip r:embed="rId46"/>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bookmarkStart w:id="49" w:name="fig:PURPARRatio"/>
      <w:bookmarkEnd w:id="49"/>
      <w:r>
        <w:rPr>
          <w:bCs/>
          <w:b/>
        </w:rPr>
        <w:t xml:space="preserve">Fig.</w:t>
      </w:r>
      <w:r>
        <w:rPr>
          <w:bCs/>
          <w:b/>
        </w:rPr>
        <w:t xml:space="preserve"> </w:t>
      </w:r>
      <w:r>
        <w:t xml:space="preserve">4:</w:t>
      </w:r>
      <w:r>
        <w:t xml:space="preserve"> </w:t>
      </w:r>
      <w:r>
        <w:rPr>
          <w:bCs/>
          <w:b/>
        </w:rPr>
        <w:t xml:space="preserve">Changes in PUR/PAR ratio vs. wavelength (nm)</w:t>
      </w:r>
      <w:r>
        <w:t xml:space="preserve">. PUR/PAR ratio was estimated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p>
      <w:pPr>
        <w:pStyle w:val="BodyText"/>
      </w:pPr>
    </w:p>
    <w:bookmarkEnd w:id="50"/>
    <w:bookmarkStart w:id="55" w:name="Xe01d8149656f180aa32e8ccd949acd791a86e6a"/>
    <w:p>
      <w:pPr>
        <w:pStyle w:val="Heading2"/>
      </w:pPr>
      <w:r>
        <w:t xml:space="preserve">Effective absorption cross section of PSII</w:t>
      </w:r>
    </w:p>
    <w:p>
      <w:pPr>
        <w:pStyle w:val="CaptionedFigure"/>
      </w:pPr>
      <w:r>
        <w:drawing>
          <wp:inline>
            <wp:extent cx="5943600" cy="3714749"/>
            <wp:effectExtent b="0" l="0" r="0" t="0"/>
            <wp:docPr descr="Fig. 5: Effective absorption cross section of PSII (σPSIIʹ; nm2 quanta−1) measured under diel peak PAR growth light vs. wavelength (nm). σPSIIʹ was estimated using FRRf induction curves with excitations (Ex445nm, blue, Ex470nm, blue-green, Ex505nm, green, Ex535nm, green-yellow, Ex590nm, orange, Ex590nm, orange), for PC-rich_077 (light green) and PE-rich_127 (dark red) cultures of Synechococcus sp. grown at spectral bandwidth of 405, 445, 470, 535, 620, 660, and 720 nm and O2 concentration of 250 µM and 2.5 µM." title="" id="52" name="Picture"/>
            <a:graphic>
              <a:graphicData uri="http://schemas.openxmlformats.org/drawingml/2006/picture">
                <pic:pic>
                  <pic:nvPicPr>
                    <pic:cNvPr descr="../Output/Figures/Fig_Sig2.png" id="53" name="Picture"/>
                    <pic:cNvPicPr>
                      <a:picLocks noChangeArrowheads="1" noChangeAspect="1"/>
                    </pic:cNvPicPr>
                  </pic:nvPicPr>
                  <pic:blipFill>
                    <a:blip r:embed="rId51"/>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bookmarkStart w:id="54" w:name="fig:Sigma590"/>
      <w:bookmarkEnd w:id="54"/>
      <w:r>
        <w:rPr>
          <w:bCs/>
          <w:b/>
        </w:rPr>
        <w:t xml:space="preserve">Fig.</w:t>
      </w:r>
      <w:r>
        <w:rPr>
          <w:bCs/>
          <w:b/>
        </w:rPr>
        <w:t xml:space="preserve"> </w:t>
      </w:r>
      <w:r>
        <w:t xml:space="preserve">5:</w:t>
      </w:r>
      <w:r>
        <w:t xml:space="preserve"> </w:t>
      </w:r>
      <w:r>
        <w:rPr>
          <w:bCs/>
          <w:b/>
        </w:rPr>
        <w:t xml:space="preserve">Effective absorption cross section of PSII (σ</w:t>
      </w:r>
      <w:r>
        <w:rPr>
          <w:vertAlign w:val="subscript"/>
          <w:bCs/>
          <w:b/>
        </w:rPr>
        <w:t xml:space="preserve">PSII</w:t>
      </w:r>
      <w:r>
        <w:rPr>
          <w:bCs/>
          <w:b/>
        </w:rPr>
        <w:t xml:space="preserve">ʹ; nm</w:t>
      </w:r>
      <w:r>
        <w:rPr>
          <w:vertAlign w:val="superscript"/>
          <w:bCs/>
          <w:b/>
        </w:rPr>
        <w:t xml:space="preserve">2</w:t>
      </w:r>
      <w:r>
        <w:rPr>
          <w:bCs/>
          <w:b/>
        </w:rPr>
        <w:t xml:space="preserve"> </w:t>
      </w:r>
      <w:r>
        <w:rPr>
          <w:bCs/>
          <w:b/>
        </w:rPr>
        <w:t xml:space="preserve">quanta</w:t>
      </w:r>
      <w:r>
        <w:rPr>
          <w:vertAlign w:val="superscript"/>
          <w:bCs/>
          <w:b/>
        </w:rPr>
        <w:t xml:space="preserve">−1</w:t>
      </w:r>
      <w:r>
        <w:rPr>
          <w:bCs/>
          <w:b/>
        </w:rPr>
        <w:t xml:space="preserve">) measured under diel peak PAR growth light vs. wavelength (nm)</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505nm</w:t>
      </w:r>
      <w:r>
        <w:t xml:space="preserve">, green, Ex</w:t>
      </w:r>
      <w:r>
        <w:rPr>
          <w:vertAlign w:val="subscript"/>
        </w:rPr>
        <w:t xml:space="preserve">535nm</w:t>
      </w:r>
      <w:r>
        <w:t xml:space="preserve">, green-yellow, Ex</w:t>
      </w:r>
      <w:r>
        <w:rPr>
          <w:vertAlign w:val="subscript"/>
        </w:rPr>
        <w:t xml:space="preserve">590nm</w:t>
      </w:r>
      <w:r>
        <w:t xml:space="preserve">, orange, Ex</w:t>
      </w:r>
      <w:r>
        <w:rPr>
          <w:vertAlign w:val="subscript"/>
        </w:rPr>
        <w:t xml:space="preserve">590nm</w:t>
      </w:r>
      <w:r>
        <w:t xml:space="preserve">, orange),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bookmarkEnd w:id="55"/>
    <w:bookmarkStart w:id="60" w:name="uncalibrated-psii-electron-flux"/>
    <w:p>
      <w:pPr>
        <w:pStyle w:val="Heading2"/>
      </w:pPr>
      <w:r>
        <w:t xml:space="preserve">Uncalibrated PSII electron flux</w:t>
      </w:r>
    </w:p>
    <w:p>
      <w:pPr>
        <w:pStyle w:val="FirstParagraph"/>
      </w:pPr>
    </w:p>
    <w:p>
      <w:pPr>
        <w:pStyle w:val="CaptionedFigure"/>
      </w:pPr>
      <w:r>
        <w:drawing>
          <wp:inline>
            <wp:extent cx="5943600" cy="3714749"/>
            <wp:effectExtent b="0" l="0" r="0" t="0"/>
            <wp:docPr descr="Fig. 6: Uncalibrated PSII electron flux measured under diel peak PAR growth light vs. wavelength (nm). JVPSII was estimated using FRRf induction curves with excitations (Ex445nm, blue, Ex470nm, blue-green, Ex505nm, green, Ex535nm, green-yellow, Ex590nm, orange, Ex590nm, orange), for PC-rich_077 (light green) and PE-rich_127 (dark red) cultures of Synechococcus sp. grown at spectral bandwidth of 405, 445, 470, 535, 620, 660, and 720 nm and O2 concentration of 250 µM and 2.5 µM." title="" id="57" name="Picture"/>
            <a:graphic>
              <a:graphicData uri="http://schemas.openxmlformats.org/drawingml/2006/picture">
                <pic:pic>
                  <pic:nvPicPr>
                    <pic:cNvPr descr="../Output/Figures/Fig_UncalibJVPSII.png" id="58" name="Picture"/>
                    <pic:cNvPicPr>
                      <a:picLocks noChangeArrowheads="1" noChangeAspect="1"/>
                    </pic:cNvPicPr>
                  </pic:nvPicPr>
                  <pic:blipFill>
                    <a:blip r:embed="rId56"/>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bookmarkStart w:id="59" w:name="fig:GrowthRateJVPSII"/>
      <w:bookmarkEnd w:id="59"/>
      <w:r>
        <w:rPr>
          <w:bCs/>
          <w:b/>
        </w:rPr>
        <w:t xml:space="preserve">Fig.</w:t>
      </w:r>
      <w:r>
        <w:rPr>
          <w:bCs/>
          <w:b/>
        </w:rPr>
        <w:t xml:space="preserve"> </w:t>
      </w:r>
      <w:r>
        <w:t xml:space="preserve">6:</w:t>
      </w:r>
      <w:r>
        <w:t xml:space="preserve"> </w:t>
      </w:r>
      <w:r>
        <w:rPr>
          <w:bCs/>
          <w:b/>
        </w:rPr>
        <w:t xml:space="preserve">Uncalibrated PSII electron flux measured under diel peak PAR growth light vs. wavelength (nm)</w:t>
      </w:r>
      <w:r>
        <w:t xml:space="preserve">.</w:t>
      </w:r>
      <w:r>
        <w:t xml:space="preserve"> </w:t>
      </w:r>
      <w:r>
        <w:rPr>
          <w:iCs/>
          <w:i/>
        </w:rPr>
        <w:t xml:space="preserve">JV</w:t>
      </w:r>
      <w:r>
        <w:rPr>
          <w:vertAlign w:val="subscript"/>
        </w:rPr>
        <w:t xml:space="preserve">PSII</w:t>
      </w:r>
      <w:r>
        <w:t xml:space="preserve"> </w:t>
      </w:r>
      <w:r>
        <w:t xml:space="preserve">was estimated using FRRf induction curves with excitations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505nm</w:t>
      </w:r>
      <w:r>
        <w:t xml:space="preserve">, green, Ex</w:t>
      </w:r>
      <w:r>
        <w:rPr>
          <w:vertAlign w:val="subscript"/>
        </w:rPr>
        <w:t xml:space="preserve">535nm</w:t>
      </w:r>
      <w:r>
        <w:t xml:space="preserve">, green-yellow, Ex</w:t>
      </w:r>
      <w:r>
        <w:rPr>
          <w:vertAlign w:val="subscript"/>
        </w:rPr>
        <w:t xml:space="preserve">590nm</w:t>
      </w:r>
      <w:r>
        <w:t xml:space="preserve">, orange, Ex</w:t>
      </w:r>
      <w:r>
        <w:rPr>
          <w:vertAlign w:val="subscript"/>
        </w:rPr>
        <w:t xml:space="preserve">590nm</w:t>
      </w:r>
      <w:r>
        <w:t xml:space="preserve">, orange), for PC-rich_077 (light green) and PE-rich_127 (dark red) cultures of</w:t>
      </w:r>
      <w:r>
        <w:t xml:space="preserve"> </w:t>
      </w:r>
      <w:r>
        <w:rPr>
          <w:iCs/>
          <w:i/>
        </w:rPr>
        <w:t xml:space="preserve">Synechococcus</w:t>
      </w:r>
      <w:r>
        <w:t xml:space="preserve"> </w:t>
      </w:r>
      <w:r>
        <w:t xml:space="preserve">sp. grown at spectral bandwidth of 405, 445, 470, 535, 620, 660, and 720 nm and O</w:t>
      </w:r>
      <w:r>
        <w:rPr>
          <w:vertAlign w:val="subscript"/>
        </w:rPr>
        <w:t xml:space="preserve">2</w:t>
      </w:r>
      <w:r>
        <w:t xml:space="preserve"> </w:t>
      </w:r>
      <w:r>
        <w:t xml:space="preserve">concentration of 250 µM and 2.5 µM.</w:t>
      </w:r>
    </w:p>
    <w:p>
      <w:pPr>
        <w:pStyle w:val="BodyText"/>
      </w:pPr>
    </w:p>
    <w:bookmarkEnd w:id="60"/>
    <w:bookmarkEnd w:id="61"/>
    <w:bookmarkStart w:id="62" w:name="discussion"/>
    <w:p>
      <w:pPr>
        <w:pStyle w:val="Heading1"/>
      </w:pPr>
      <w:r>
        <w:t xml:space="preserve">Discussion</w:t>
      </w:r>
    </w:p>
    <w:p>
      <w:pPr>
        <w:pStyle w:val="FirstParagraph"/>
      </w:pPr>
    </w:p>
    <w:bookmarkEnd w:id="62"/>
    <w:bookmarkStart w:id="63"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63"/>
    <w:bookmarkStart w:id="67"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64">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65"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65"/>
    <w:bookmarkStart w:id="66" w:name="conflict-of-interest"/>
    <w:p>
      <w:pPr>
        <w:pStyle w:val="Heading2"/>
      </w:pPr>
      <w:r>
        <w:t xml:space="preserve">Conflict of Interest</w:t>
      </w:r>
    </w:p>
    <w:p>
      <w:pPr>
        <w:pStyle w:val="FirstParagraph"/>
      </w:pPr>
      <w:r>
        <w:t xml:space="preserve">None declared.</w:t>
      </w:r>
    </w:p>
    <w:p>
      <w:pPr>
        <w:pStyle w:val="BodyText"/>
      </w:pPr>
    </w:p>
    <w:bookmarkEnd w:id="66"/>
    <w:bookmarkEnd w:id="67"/>
    <w:bookmarkStart w:id="112" w:name="references"/>
    <w:p>
      <w:pPr>
        <w:pStyle w:val="Heading1"/>
      </w:pPr>
      <w:r>
        <w:t xml:space="preserve">References</w:t>
      </w:r>
    </w:p>
    <w:bookmarkStart w:id="111" w:name="refs"/>
    <w:bookmarkStart w:id="6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8">
        <w:r>
          <w:rPr>
            <w:rStyle w:val="Hyperlink"/>
          </w:rPr>
          <w:t xml:space="preserve">10.1083/jcb.58.2.419</w:t>
        </w:r>
      </w:hyperlink>
      <w:r>
        <w:t xml:space="preserve">.</w:t>
      </w:r>
    </w:p>
    <w:bookmarkEnd w:id="69"/>
    <w:bookmarkStart w:id="70"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0"/>
    <w:bookmarkStart w:id="72"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1">
        <w:r>
          <w:rPr>
            <w:rStyle w:val="Hyperlink"/>
          </w:rPr>
          <w:t xml:space="preserve">10.3389/fmars.2019.00319</w:t>
        </w:r>
      </w:hyperlink>
      <w:r>
        <w:t xml:space="preserve">.</w:t>
      </w:r>
    </w:p>
    <w:bookmarkEnd w:id="72"/>
    <w:bookmarkStart w:id="73"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3"/>
    <w:bookmarkStart w:id="74"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4"/>
    <w:bookmarkStart w:id="76"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75">
        <w:r>
          <w:rPr>
            <w:rStyle w:val="Hyperlink"/>
          </w:rPr>
          <w:t xml:space="preserve">10.1073/pnas.1307701110</w:t>
        </w:r>
      </w:hyperlink>
      <w:r>
        <w:t xml:space="preserve">.</w:t>
      </w:r>
    </w:p>
    <w:bookmarkEnd w:id="76"/>
    <w:bookmarkStart w:id="78"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77">
        <w:r>
          <w:rPr>
            <w:rStyle w:val="Hyperlink"/>
          </w:rPr>
          <w:t xml:space="preserve">10.1007/978-1-4615-8714-9_3</w:t>
        </w:r>
      </w:hyperlink>
      <w:r>
        <w:t xml:space="preserve">.</w:t>
      </w:r>
    </w:p>
    <w:bookmarkEnd w:id="78"/>
    <w:bookmarkStart w:id="79"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79"/>
    <w:bookmarkStart w:id="81"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0">
        <w:r>
          <w:rPr>
            <w:rStyle w:val="Hyperlink"/>
          </w:rPr>
          <w:t xml:space="preserve">10.1016/j.jphotobiol.2005.10.002</w:t>
        </w:r>
      </w:hyperlink>
      <w:r>
        <w:t xml:space="preserve">.</w:t>
      </w:r>
    </w:p>
    <w:bookmarkEnd w:id="81"/>
    <w:bookmarkStart w:id="83"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82">
        <w:r>
          <w:rPr>
            <w:rStyle w:val="Hyperlink"/>
          </w:rPr>
          <w:t xml:space="preserve">10.1016/S0005-2728(98)00135-2</w:t>
        </w:r>
      </w:hyperlink>
      <w:r>
        <w:t xml:space="preserve">.</w:t>
      </w:r>
    </w:p>
    <w:bookmarkEnd w:id="83"/>
    <w:bookmarkStart w:id="85" w:name="ref-kromkampComputerModelBuoyancy1990"/>
    <w:p>
      <w:pPr>
        <w:pStyle w:val="Bibliography"/>
      </w:pPr>
      <w:r>
        <w:t xml:space="preserve">Kromkamp, J., and Walsby, A.E. 1990. A computer model of buoyancy and vertical migration in cyanobacteria. Journal of Plankton Research</w:t>
      </w:r>
      <w:r>
        <w:t xml:space="preserve"> </w:t>
      </w:r>
      <w:r>
        <w:rPr>
          <w:bCs/>
          <w:b/>
        </w:rPr>
        <w:t xml:space="preserve">12</w:t>
      </w:r>
      <w:r>
        <w:t xml:space="preserve">(1): 161–183. doi:</w:t>
      </w:r>
      <w:hyperlink r:id="rId84">
        <w:r>
          <w:rPr>
            <w:rStyle w:val="Hyperlink"/>
          </w:rPr>
          <w:t xml:space="preserve">10.1093/plankt/12.1.161</w:t>
        </w:r>
      </w:hyperlink>
      <w:r>
        <w:t xml:space="preserve">.</w:t>
      </w:r>
    </w:p>
    <w:bookmarkEnd w:id="85"/>
    <w:bookmarkStart w:id="87"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86">
        <w:r>
          <w:rPr>
            <w:rStyle w:val="Hyperlink"/>
          </w:rPr>
          <w:t xml:space="preserve">10.1016/0146-6291(78)90623-9</w:t>
        </w:r>
      </w:hyperlink>
      <w:r>
        <w:t xml:space="preserve">.</w:t>
      </w:r>
    </w:p>
    <w:bookmarkEnd w:id="87"/>
    <w:bookmarkStart w:id="89"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88">
        <w:r>
          <w:rPr>
            <w:rStyle w:val="Hyperlink"/>
          </w:rPr>
          <w:t xml:space="preserve">10.1023/A:1005936823310</w:t>
        </w:r>
      </w:hyperlink>
      <w:r>
        <w:t xml:space="preserve">.</w:t>
      </w:r>
    </w:p>
    <w:bookmarkEnd w:id="89"/>
    <w:bookmarkStart w:id="91"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0">
        <w:r>
          <w:rPr>
            <w:rStyle w:val="Hyperlink"/>
          </w:rPr>
          <w:t xml:space="preserve">10.4319/lom.2012.10.142</w:t>
        </w:r>
      </w:hyperlink>
      <w:r>
        <w:t xml:space="preserve">.</w:t>
      </w:r>
    </w:p>
    <w:bookmarkEnd w:id="91"/>
    <w:bookmarkStart w:id="92"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2"/>
    <w:bookmarkStart w:id="94" w:name="ref-posit"/>
    <w:p>
      <w:pPr>
        <w:pStyle w:val="Bibliography"/>
      </w:pPr>
      <w:r>
        <w:t xml:space="preserve">Posit team. 2022. RStudio: Integrated development environment for r. Posit Software, PBC, Boston, MA. Available from</w:t>
      </w:r>
      <w:r>
        <w:t xml:space="preserve"> </w:t>
      </w:r>
      <w:hyperlink r:id="rId93">
        <w:r>
          <w:rPr>
            <w:rStyle w:val="Hyperlink"/>
          </w:rPr>
          <w:t xml:space="preserve">http://www.posit.co/</w:t>
        </w:r>
      </w:hyperlink>
      <w:r>
        <w:t xml:space="preserve">.</w:t>
      </w:r>
    </w:p>
    <w:bookmarkEnd w:id="94"/>
    <w:bookmarkStart w:id="96" w:name="ref-rcore"/>
    <w:p>
      <w:pPr>
        <w:pStyle w:val="Bibliography"/>
      </w:pPr>
      <w:r>
        <w:t xml:space="preserve">R Core Team. 2023. R: A language and environment for statistical computing. R Foundation for Statistical Computing, Vienna, Austria. Available from</w:t>
      </w:r>
      <w:r>
        <w:t xml:space="preserve"> </w:t>
      </w:r>
      <w:hyperlink r:id="rId95">
        <w:r>
          <w:rPr>
            <w:rStyle w:val="Hyperlink"/>
          </w:rPr>
          <w:t xml:space="preserve">https://www.R-project.org/</w:t>
        </w:r>
      </w:hyperlink>
      <w:r>
        <w:t xml:space="preserve">.</w:t>
      </w:r>
    </w:p>
    <w:bookmarkEnd w:id="96"/>
    <w:bookmarkStart w:id="98"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97">
        <w:r>
          <w:rPr>
            <w:rStyle w:val="Hyperlink"/>
          </w:rPr>
          <w:t xml:space="preserve">DOI: http://dx.doi.org/10.25607/OBP-1791</w:t>
        </w:r>
      </w:hyperlink>
      <w:r>
        <w:t xml:space="preserve">.</w:t>
      </w:r>
    </w:p>
    <w:bookmarkEnd w:id="98"/>
    <w:bookmarkStart w:id="100"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99">
        <w:r>
          <w:rPr>
            <w:rStyle w:val="Hyperlink"/>
          </w:rPr>
          <w:t xml:space="preserve">10.25607/OBP-1084</w:t>
        </w:r>
      </w:hyperlink>
      <w:r>
        <w:t xml:space="preserve">.</w:t>
      </w:r>
    </w:p>
    <w:bookmarkEnd w:id="100"/>
    <w:bookmarkStart w:id="102"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01">
        <w:r>
          <w:rPr>
            <w:rStyle w:val="Hyperlink"/>
          </w:rPr>
          <w:t xml:space="preserve">10.1073/pnas.1205009109</w:t>
        </w:r>
      </w:hyperlink>
      <w:r>
        <w:t xml:space="preserve">.</w:t>
      </w:r>
    </w:p>
    <w:bookmarkEnd w:id="102"/>
    <w:bookmarkStart w:id="104"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03">
        <w:r>
          <w:rPr>
            <w:rStyle w:val="Hyperlink"/>
          </w:rPr>
          <w:t xml:space="preserve">10.1007/978-3-319-24277-4_9</w:t>
        </w:r>
      </w:hyperlink>
      <w:r>
        <w:t xml:space="preserve">.</w:t>
      </w:r>
    </w:p>
    <w:bookmarkEnd w:id="104"/>
    <w:bookmarkStart w:id="106"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05">
        <w:r>
          <w:rPr>
            <w:rStyle w:val="Hyperlink"/>
          </w:rPr>
          <w:t xml:space="preserve">10.1002/cyto.a.24508</w:t>
        </w:r>
      </w:hyperlink>
      <w:r>
        <w:t xml:space="preserve">.</w:t>
      </w:r>
    </w:p>
    <w:bookmarkEnd w:id="106"/>
    <w:bookmarkStart w:id="108"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07">
        <w:r>
          <w:rPr>
            <w:rStyle w:val="Hyperlink"/>
          </w:rPr>
          <w:t xml:space="preserve">10.1002/lno.12367</w:t>
        </w:r>
      </w:hyperlink>
      <w:r>
        <w:t xml:space="preserve">.</w:t>
      </w:r>
    </w:p>
    <w:bookmarkEnd w:id="108"/>
    <w:bookmarkStart w:id="110"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09">
        <w:r>
          <w:rPr>
            <w:rStyle w:val="Hyperlink"/>
          </w:rPr>
          <w:t xml:space="preserve">10.1016/j.bbabio.2017.03.003</w:t>
        </w:r>
      </w:hyperlink>
      <w:r>
        <w:t xml:space="preserve">.</w:t>
      </w:r>
    </w:p>
    <w:bookmarkEnd w:id="110"/>
    <w:bookmarkEnd w:id="111"/>
    <w:bookmarkEnd w:id="112"/>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32" Target="media/rId32.png" /><Relationship Type="http://schemas.openxmlformats.org/officeDocument/2006/relationships/hyperlink" Id="rId97" Target="DOI: http://dx.doi.org/10.25607/OBP-1791" TargetMode="External" /><Relationship Type="http://schemas.openxmlformats.org/officeDocument/2006/relationships/hyperlink" Id="rId9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4" Target="https://docs.google.com/spreadsheets/d/1ZXpwR7Gfto-uRzVdXzMpQF4frbrvMLH_IyLqonFZRSw/edit#gid=0" TargetMode="External" /><Relationship Type="http://schemas.openxmlformats.org/officeDocument/2006/relationships/hyperlink" Id="rId105" Target="https://doi.org/10.1002/cyto.a.24508" TargetMode="External" /><Relationship Type="http://schemas.openxmlformats.org/officeDocument/2006/relationships/hyperlink" Id="rId107" Target="https://doi.org/10.1002/lno.12367" TargetMode="External" /><Relationship Type="http://schemas.openxmlformats.org/officeDocument/2006/relationships/hyperlink" Id="rId77" Target="https://doi.org/10.1007/978-1-4615-8714-9_3" TargetMode="External" /><Relationship Type="http://schemas.openxmlformats.org/officeDocument/2006/relationships/hyperlink" Id="rId103" Target="https://doi.org/10.1007/978-3-319-24277-4_9" TargetMode="External" /><Relationship Type="http://schemas.openxmlformats.org/officeDocument/2006/relationships/hyperlink" Id="rId86" Target="https://doi.org/10.1016/0146-6291(78)90623-9" TargetMode="External" /><Relationship Type="http://schemas.openxmlformats.org/officeDocument/2006/relationships/hyperlink" Id="rId82" Target="https://doi.org/10.1016/S0005-2728(98)00135-2" TargetMode="External" /><Relationship Type="http://schemas.openxmlformats.org/officeDocument/2006/relationships/hyperlink" Id="rId109" Target="https://doi.org/10.1016/j.bbabio.2017.03.003" TargetMode="External" /><Relationship Type="http://schemas.openxmlformats.org/officeDocument/2006/relationships/hyperlink" Id="rId80" Target="https://doi.org/10.1016/j.jphotobiol.2005.10.002" TargetMode="External" /><Relationship Type="http://schemas.openxmlformats.org/officeDocument/2006/relationships/hyperlink" Id="rId88" Target="https://doi.org/10.1023/A:1005936823310" TargetMode="External" /><Relationship Type="http://schemas.openxmlformats.org/officeDocument/2006/relationships/hyperlink" Id="rId101" Target="https://doi.org/10.1073/pnas.1205009109" TargetMode="External" /><Relationship Type="http://schemas.openxmlformats.org/officeDocument/2006/relationships/hyperlink" Id="rId75"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84" Target="https://doi.org/10.1093/plankt/12.1.161" TargetMode="External" /><Relationship Type="http://schemas.openxmlformats.org/officeDocument/2006/relationships/hyperlink" Id="rId99" Target="https://doi.org/10.25607/OBP-1084" TargetMode="External" /><Relationship Type="http://schemas.openxmlformats.org/officeDocument/2006/relationships/hyperlink" Id="rId71" Target="https://doi.org/10.3389/fmars.2019.00319" TargetMode="External" /><Relationship Type="http://schemas.openxmlformats.org/officeDocument/2006/relationships/hyperlink" Id="rId90"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5"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97" Target="DOI: http://dx.doi.org/10.25607/OBP-1791" TargetMode="External" /><Relationship Type="http://schemas.openxmlformats.org/officeDocument/2006/relationships/hyperlink" Id="rId9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4" Target="https://docs.google.com/spreadsheets/d/1ZXpwR7Gfto-uRzVdXzMpQF4frbrvMLH_IyLqonFZRSw/edit#gid=0" TargetMode="External" /><Relationship Type="http://schemas.openxmlformats.org/officeDocument/2006/relationships/hyperlink" Id="rId105" Target="https://doi.org/10.1002/cyto.a.24508" TargetMode="External" /><Relationship Type="http://schemas.openxmlformats.org/officeDocument/2006/relationships/hyperlink" Id="rId107" Target="https://doi.org/10.1002/lno.12367" TargetMode="External" /><Relationship Type="http://schemas.openxmlformats.org/officeDocument/2006/relationships/hyperlink" Id="rId77" Target="https://doi.org/10.1007/978-1-4615-8714-9_3" TargetMode="External" /><Relationship Type="http://schemas.openxmlformats.org/officeDocument/2006/relationships/hyperlink" Id="rId103" Target="https://doi.org/10.1007/978-3-319-24277-4_9" TargetMode="External" /><Relationship Type="http://schemas.openxmlformats.org/officeDocument/2006/relationships/hyperlink" Id="rId86" Target="https://doi.org/10.1016/0146-6291(78)90623-9" TargetMode="External" /><Relationship Type="http://schemas.openxmlformats.org/officeDocument/2006/relationships/hyperlink" Id="rId82" Target="https://doi.org/10.1016/S0005-2728(98)00135-2" TargetMode="External" /><Relationship Type="http://schemas.openxmlformats.org/officeDocument/2006/relationships/hyperlink" Id="rId109" Target="https://doi.org/10.1016/j.bbabio.2017.03.003" TargetMode="External" /><Relationship Type="http://schemas.openxmlformats.org/officeDocument/2006/relationships/hyperlink" Id="rId80" Target="https://doi.org/10.1016/j.jphotobiol.2005.10.002" TargetMode="External" /><Relationship Type="http://schemas.openxmlformats.org/officeDocument/2006/relationships/hyperlink" Id="rId88" Target="https://doi.org/10.1023/A:1005936823310" TargetMode="External" /><Relationship Type="http://schemas.openxmlformats.org/officeDocument/2006/relationships/hyperlink" Id="rId101" Target="https://doi.org/10.1073/pnas.1205009109" TargetMode="External" /><Relationship Type="http://schemas.openxmlformats.org/officeDocument/2006/relationships/hyperlink" Id="rId75"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84" Target="https://doi.org/10.1093/plankt/12.1.161" TargetMode="External" /><Relationship Type="http://schemas.openxmlformats.org/officeDocument/2006/relationships/hyperlink" Id="rId99" Target="https://doi.org/10.25607/OBP-1084" TargetMode="External" /><Relationship Type="http://schemas.openxmlformats.org/officeDocument/2006/relationships/hyperlink" Id="rId71" Target="https://doi.org/10.3389/fmars.2019.00319" TargetMode="External" /><Relationship Type="http://schemas.openxmlformats.org/officeDocument/2006/relationships/hyperlink" Id="rId90"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5"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exploit low oxygen habitats</dc:title>
  <dc:creator>Sylwia Śliwińska-Wilczewska1,2, Mireille Savoie1, Naaman M. Omar1, and Douglas A. Campbell1,✉</dc:creator>
  <cp:keywords/>
  <dcterms:created xsi:type="dcterms:W3CDTF">2024-05-06T15:55:53Z</dcterms:created>
  <dcterms:modified xsi:type="dcterms:W3CDTF">2024-05-06T15:55:53Z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